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468"/>
        <w:gridCol w:w="8100"/>
        <w:gridCol w:w="990"/>
        <w:gridCol w:w="990"/>
        <w:gridCol w:w="990"/>
        <w:gridCol w:w="990"/>
        <w:gridCol w:w="956"/>
        <w:gridCol w:w="34"/>
        <w:gridCol w:w="990"/>
      </w:tblGrid>
      <w:tr w:rsidR="00351E69" w:rsidRPr="007F053A" w:rsidTr="00B52606">
        <w:tc>
          <w:tcPr>
            <w:tcW w:w="14508" w:type="dxa"/>
            <w:gridSpan w:val="9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51E69" w:rsidRPr="006E2DC4" w:rsidRDefault="00351E69" w:rsidP="007F053A">
            <w:pPr>
              <w:jc w:val="center"/>
              <w:rPr>
                <w:rFonts w:ascii="Arial Narrow" w:hAnsi="Arial Narrow"/>
                <w:sz w:val="32"/>
                <w:szCs w:val="24"/>
              </w:rPr>
            </w:pPr>
            <w:r w:rsidRPr="006E2DC4">
              <w:rPr>
                <w:rFonts w:ascii="Arial Narrow" w:hAnsi="Arial Narrow"/>
                <w:sz w:val="32"/>
                <w:szCs w:val="24"/>
              </w:rPr>
              <w:t>Engaging Instruction</w:t>
            </w:r>
          </w:p>
        </w:tc>
      </w:tr>
      <w:tr w:rsidR="00CE5CD0" w:rsidRPr="00EF04D3" w:rsidTr="0015228D">
        <w:tc>
          <w:tcPr>
            <w:tcW w:w="8568" w:type="dxa"/>
            <w:gridSpan w:val="2"/>
            <w:vMerge w:val="restart"/>
            <w:shd w:val="clear" w:color="auto" w:fill="B8CCE4" w:themeFill="accent1" w:themeFillTint="66"/>
            <w:vAlign w:val="center"/>
          </w:tcPr>
          <w:p w:rsidR="00CE5CD0" w:rsidRPr="006E2DC4" w:rsidRDefault="00CE5CD0" w:rsidP="002E428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2DC4">
              <w:rPr>
                <w:rFonts w:ascii="Arial Narrow" w:hAnsi="Arial Narrow"/>
                <w:sz w:val="24"/>
                <w:szCs w:val="24"/>
              </w:rPr>
              <w:t>Indicators</w:t>
            </w: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CE5CD0" w:rsidRPr="006E2DC4" w:rsidRDefault="00CE5CD0" w:rsidP="00351E6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E2DC4">
              <w:rPr>
                <w:rFonts w:ascii="Arial Narrow" w:hAnsi="Arial Narrow"/>
                <w:sz w:val="24"/>
                <w:szCs w:val="24"/>
              </w:rPr>
              <w:t>Mark if Indicator is Evident during Observation</w:t>
            </w:r>
          </w:p>
        </w:tc>
      </w:tr>
      <w:tr w:rsidR="00CE5CD0" w:rsidRPr="00EF04D3" w:rsidTr="0015228D">
        <w:trPr>
          <w:trHeight w:val="293"/>
        </w:trPr>
        <w:tc>
          <w:tcPr>
            <w:tcW w:w="8568" w:type="dxa"/>
            <w:gridSpan w:val="2"/>
            <w:vMerge/>
            <w:shd w:val="clear" w:color="auto" w:fill="D6E3BC" w:themeFill="accent3" w:themeFillTint="66"/>
            <w:vAlign w:val="center"/>
          </w:tcPr>
          <w:p w:rsidR="00CE5CD0" w:rsidRPr="006E2DC4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D6E3BC" w:themeFill="accent3" w:themeFillTint="66"/>
          </w:tcPr>
          <w:p w:rsidR="00CE5CD0" w:rsidRPr="00FA1467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FA1467">
              <w:rPr>
                <w:rFonts w:ascii="Arial Narrow" w:hAnsi="Arial Narrow"/>
                <w:sz w:val="18"/>
                <w:szCs w:val="24"/>
              </w:rPr>
              <w:t>Classroom 1</w:t>
            </w:r>
          </w:p>
        </w:tc>
        <w:tc>
          <w:tcPr>
            <w:tcW w:w="990" w:type="dxa"/>
            <w:shd w:val="clear" w:color="auto" w:fill="D6E3BC" w:themeFill="accent3" w:themeFillTint="66"/>
          </w:tcPr>
          <w:p w:rsidR="00CE5CD0" w:rsidRPr="00FA1467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FA1467">
              <w:rPr>
                <w:rFonts w:ascii="Arial Narrow" w:hAnsi="Arial Narrow"/>
                <w:sz w:val="18"/>
                <w:szCs w:val="24"/>
              </w:rPr>
              <w:t>Classroom 2</w:t>
            </w:r>
          </w:p>
        </w:tc>
        <w:tc>
          <w:tcPr>
            <w:tcW w:w="990" w:type="dxa"/>
            <w:shd w:val="clear" w:color="auto" w:fill="D6E3BC" w:themeFill="accent3" w:themeFillTint="66"/>
          </w:tcPr>
          <w:p w:rsidR="00CE5CD0" w:rsidRPr="00FA1467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FA1467">
              <w:rPr>
                <w:rFonts w:ascii="Arial Narrow" w:hAnsi="Arial Narrow"/>
                <w:sz w:val="18"/>
                <w:szCs w:val="24"/>
              </w:rPr>
              <w:t>Classroom 3</w:t>
            </w:r>
          </w:p>
        </w:tc>
        <w:tc>
          <w:tcPr>
            <w:tcW w:w="990" w:type="dxa"/>
            <w:shd w:val="clear" w:color="auto" w:fill="D6E3BC" w:themeFill="accent3" w:themeFillTint="66"/>
          </w:tcPr>
          <w:p w:rsidR="00CE5CD0" w:rsidRPr="00FA1467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FA1467">
              <w:rPr>
                <w:rFonts w:ascii="Arial Narrow" w:hAnsi="Arial Narrow"/>
                <w:sz w:val="18"/>
                <w:szCs w:val="24"/>
              </w:rPr>
              <w:t>Classroom 4</w:t>
            </w:r>
          </w:p>
        </w:tc>
        <w:tc>
          <w:tcPr>
            <w:tcW w:w="990" w:type="dxa"/>
            <w:gridSpan w:val="2"/>
            <w:shd w:val="clear" w:color="auto" w:fill="D6E3BC" w:themeFill="accent3" w:themeFillTint="66"/>
          </w:tcPr>
          <w:p w:rsidR="00CE5CD0" w:rsidRPr="00FA1467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FA1467">
              <w:rPr>
                <w:rFonts w:ascii="Arial Narrow" w:hAnsi="Arial Narrow"/>
                <w:sz w:val="18"/>
                <w:szCs w:val="24"/>
              </w:rPr>
              <w:t>Classroom 5</w:t>
            </w:r>
          </w:p>
        </w:tc>
        <w:tc>
          <w:tcPr>
            <w:tcW w:w="990" w:type="dxa"/>
            <w:shd w:val="clear" w:color="auto" w:fill="D6E3BC" w:themeFill="accent3" w:themeFillTint="66"/>
          </w:tcPr>
          <w:p w:rsidR="00CE5CD0" w:rsidRPr="00FA1467" w:rsidRDefault="00CE5CD0" w:rsidP="00106007">
            <w:pPr>
              <w:pStyle w:val="NoSpacing"/>
              <w:tabs>
                <w:tab w:val="left" w:pos="5386"/>
              </w:tabs>
              <w:jc w:val="center"/>
              <w:rPr>
                <w:rFonts w:ascii="Arial Narrow" w:hAnsi="Arial Narrow"/>
                <w:sz w:val="18"/>
                <w:szCs w:val="24"/>
              </w:rPr>
            </w:pPr>
            <w:r>
              <w:rPr>
                <w:rFonts w:ascii="Arial Narrow" w:hAnsi="Arial Narrow"/>
                <w:sz w:val="18"/>
                <w:szCs w:val="24"/>
              </w:rPr>
              <w:t>Classroom 6</w:t>
            </w:r>
          </w:p>
        </w:tc>
      </w:tr>
      <w:tr w:rsidR="00CE5CD0" w:rsidTr="00214816">
        <w:trPr>
          <w:trHeight w:val="215"/>
        </w:trPr>
        <w:tc>
          <w:tcPr>
            <w:tcW w:w="468" w:type="dxa"/>
            <w:vMerge w:val="restart"/>
            <w:textDirection w:val="btLr"/>
          </w:tcPr>
          <w:p w:rsidR="00CE5CD0" w:rsidRPr="006E2DC4" w:rsidRDefault="00CE5CD0" w:rsidP="00CE5CD0">
            <w:pPr>
              <w:pStyle w:val="ListParagraph"/>
              <w:ind w:left="360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Instruction</w:t>
            </w: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CE5CD0" w:rsidRPr="00CE5CD0" w:rsidRDefault="00CE5CD0" w:rsidP="00CE5CD0">
            <w:pPr>
              <w:rPr>
                <w:rFonts w:ascii="Arial Narrow" w:hAnsi="Arial Narrow"/>
              </w:rPr>
            </w:pPr>
            <w:r w:rsidRPr="00CE5CD0">
              <w:rPr>
                <w:rFonts w:ascii="Arial Narrow" w:hAnsi="Arial Narrow"/>
                <w:szCs w:val="24"/>
              </w:rPr>
              <w:t xml:space="preserve">All available instructional time is used for teaching and learning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2E3BF0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2E3BF0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2E3BF0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2E3BF0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:rsidR="00CE5CD0" w:rsidRPr="005423A9" w:rsidRDefault="00CE5CD0" w:rsidP="002E3BF0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2E3BF0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214816">
        <w:tc>
          <w:tcPr>
            <w:tcW w:w="468" w:type="dxa"/>
            <w:vMerge/>
          </w:tcPr>
          <w:p w:rsidR="00CE5CD0" w:rsidRPr="006E2DC4" w:rsidRDefault="00CE5CD0" w:rsidP="006642DA">
            <w:pPr>
              <w:pStyle w:val="ListParagraph"/>
              <w:ind w:left="360"/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CE5CD0" w:rsidRDefault="00CE5CD0" w:rsidP="00CE5CD0">
            <w:pPr>
              <w:rPr>
                <w:rFonts w:ascii="Arial Narrow" w:hAnsi="Arial Narrow"/>
              </w:rPr>
            </w:pPr>
            <w:r w:rsidRPr="00CE5CD0">
              <w:rPr>
                <w:rFonts w:ascii="Arial Narrow" w:hAnsi="Arial Narrow"/>
                <w:szCs w:val="24"/>
              </w:rPr>
              <w:t>Teacher overtly links new content to what students already know, understand and can do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214816">
        <w:trPr>
          <w:trHeight w:val="233"/>
        </w:trPr>
        <w:tc>
          <w:tcPr>
            <w:tcW w:w="468" w:type="dxa"/>
            <w:vMerge/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shd w:val="clear" w:color="auto" w:fill="FFFFFF" w:themeFill="background1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  <w:szCs w:val="24"/>
              </w:rPr>
              <w:t>Teacher overtly links new content to student interests and/or goals</w:t>
            </w:r>
          </w:p>
        </w:tc>
        <w:tc>
          <w:tcPr>
            <w:tcW w:w="990" w:type="dxa"/>
            <w:shd w:val="clear" w:color="auto" w:fill="FFFFFF" w:themeFill="background1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shd w:val="clear" w:color="auto" w:fill="FFFFFF" w:themeFill="background1"/>
          </w:tcPr>
          <w:p w:rsidR="00CE5CD0" w:rsidRPr="005423A9" w:rsidRDefault="00CE5CD0" w:rsidP="0018609F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AA038C">
        <w:tc>
          <w:tcPr>
            <w:tcW w:w="468" w:type="dxa"/>
            <w:vMerge/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</w:rPr>
              <w:t>Teacher incorporates diverse cultural representations, multiple perspectives and/or everyday-life concepts of various cultural groups</w:t>
            </w:r>
          </w:p>
        </w:tc>
        <w:tc>
          <w:tcPr>
            <w:tcW w:w="990" w:type="dxa"/>
            <w:shd w:val="clear" w:color="auto" w:fill="EEECE1" w:themeFill="background2"/>
          </w:tcPr>
          <w:p w:rsidR="00CE5CD0" w:rsidRDefault="00CE5CD0" w:rsidP="009B5333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EEECE1" w:themeFill="background2"/>
          </w:tcPr>
          <w:p w:rsidR="00CE5CD0" w:rsidRDefault="00CE5CD0" w:rsidP="009B5333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EEECE1" w:themeFill="background2"/>
          </w:tcPr>
          <w:p w:rsidR="00CE5CD0" w:rsidRDefault="00CE5CD0" w:rsidP="009B5333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EEECE1" w:themeFill="background2"/>
          </w:tcPr>
          <w:p w:rsidR="00CE5CD0" w:rsidRDefault="00CE5CD0" w:rsidP="009B5333">
            <w:pPr>
              <w:pStyle w:val="ListParagraph"/>
              <w:ind w:left="360"/>
            </w:pPr>
          </w:p>
        </w:tc>
        <w:tc>
          <w:tcPr>
            <w:tcW w:w="956" w:type="dxa"/>
            <w:shd w:val="clear" w:color="auto" w:fill="EEECE1" w:themeFill="background2"/>
          </w:tcPr>
          <w:p w:rsidR="00CE5CD0" w:rsidRDefault="00CE5CD0" w:rsidP="009B5333">
            <w:pPr>
              <w:pStyle w:val="ListParagraph"/>
              <w:ind w:left="360"/>
            </w:pPr>
          </w:p>
        </w:tc>
        <w:tc>
          <w:tcPr>
            <w:tcW w:w="1024" w:type="dxa"/>
            <w:gridSpan w:val="2"/>
            <w:shd w:val="clear" w:color="auto" w:fill="EEECE1" w:themeFill="background2"/>
          </w:tcPr>
          <w:p w:rsidR="00CE5CD0" w:rsidRDefault="00CE5CD0" w:rsidP="009B5333">
            <w:pPr>
              <w:pStyle w:val="ListParagraph"/>
              <w:ind w:left="360"/>
            </w:pPr>
          </w:p>
        </w:tc>
      </w:tr>
      <w:tr w:rsidR="00CE5CD0" w:rsidTr="009274B4">
        <w:trPr>
          <w:trHeight w:val="287"/>
        </w:trPr>
        <w:tc>
          <w:tcPr>
            <w:tcW w:w="468" w:type="dxa"/>
            <w:vMerge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</w:rPr>
              <w:t>Teacher and/or students discuss real-world applications of lesson content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Default="00CE5CD0" w:rsidP="0018609F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Default="00CE5CD0" w:rsidP="0018609F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Default="00CE5CD0" w:rsidP="0018609F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Default="00CE5CD0" w:rsidP="0018609F">
            <w:pPr>
              <w:pStyle w:val="ListParagraph"/>
              <w:ind w:left="360"/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CE5CD0" w:rsidRDefault="00CE5CD0" w:rsidP="0018609F">
            <w:pPr>
              <w:pStyle w:val="ListParagraph"/>
              <w:ind w:left="360"/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:rsidR="00CE5CD0" w:rsidRDefault="00CE5CD0" w:rsidP="0018609F">
            <w:pPr>
              <w:pStyle w:val="ListParagraph"/>
              <w:ind w:left="360"/>
            </w:pPr>
          </w:p>
        </w:tc>
      </w:tr>
      <w:tr w:rsidR="00CE5CD0" w:rsidTr="009274B4">
        <w:trPr>
          <w:trHeight w:val="530"/>
        </w:trPr>
        <w:tc>
          <w:tcPr>
            <w:tcW w:w="468" w:type="dxa"/>
            <w:vMerge/>
          </w:tcPr>
          <w:p w:rsidR="00CE5CD0" w:rsidRPr="006642DA" w:rsidRDefault="00CE5CD0" w:rsidP="006642D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  <w:szCs w:val="24"/>
              </w:rPr>
            </w:pPr>
            <w:r w:rsidRPr="006642DA">
              <w:rPr>
                <w:rFonts w:ascii="Arial Narrow" w:hAnsi="Arial Narrow"/>
                <w:szCs w:val="24"/>
              </w:rPr>
              <w:t>Teachers provide regular and frequent (e.g., every 2-10 minutes) opportunities for students to write about, discuss and/or apply new concepts and skills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081C1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081C1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081C1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081C1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081C1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081C1D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9274B4">
        <w:tc>
          <w:tcPr>
            <w:tcW w:w="468" w:type="dxa"/>
            <w:vMerge/>
          </w:tcPr>
          <w:p w:rsidR="00CE5CD0" w:rsidRPr="006642DA" w:rsidRDefault="00CE5CD0" w:rsidP="006642D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CE5CD0" w:rsidRPr="006642DA" w:rsidRDefault="00CE5CD0" w:rsidP="006642DA">
            <w:pPr>
              <w:rPr>
                <w:rFonts w:ascii="Arial Narrow" w:hAnsi="Arial Narrow"/>
                <w:szCs w:val="24"/>
              </w:rPr>
            </w:pPr>
            <w:r w:rsidRPr="006642DA">
              <w:rPr>
                <w:rFonts w:ascii="Arial Narrow" w:hAnsi="Arial Narrow"/>
                <w:szCs w:val="24"/>
              </w:rPr>
              <w:t>Teachers overtly focus student attention on important information and concepts (e.g., repeating, pointin</w:t>
            </w:r>
            <w:r>
              <w:rPr>
                <w:rFonts w:ascii="Arial Narrow" w:hAnsi="Arial Narrow"/>
                <w:szCs w:val="24"/>
              </w:rPr>
              <w:t>g, highlighting, marking, etc.)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F8622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F8622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F8622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F8622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CE5CD0" w:rsidRPr="005423A9" w:rsidRDefault="00CE5CD0" w:rsidP="00F8622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:rsidR="00CE5CD0" w:rsidRPr="005423A9" w:rsidRDefault="00CE5CD0" w:rsidP="00F8622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9274B4">
        <w:tc>
          <w:tcPr>
            <w:tcW w:w="468" w:type="dxa"/>
            <w:vMerge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  <w:szCs w:val="24"/>
              </w:rPr>
              <w:t>Teachers appropriately differentiate curriculum, instructional methodology and assessment strategies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DF5B3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DF5B3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DF5B3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DF5B3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DF5B3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DF5B3B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9274B4">
        <w:tc>
          <w:tcPr>
            <w:tcW w:w="468" w:type="dxa"/>
            <w:vMerge/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</w:rPr>
              <w:t>Teachers facilitate reflective learning practices throughout the learning process (i.e., before, during and after instruction)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Default="00CE5CD0" w:rsidP="00343626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Default="00CE5CD0" w:rsidP="00343626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Default="00CE5CD0" w:rsidP="00343626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Default="00CE5CD0" w:rsidP="00343626">
            <w:pPr>
              <w:pStyle w:val="ListParagraph"/>
              <w:ind w:left="360"/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Default="00CE5CD0" w:rsidP="00343626">
            <w:pPr>
              <w:pStyle w:val="ListParagraph"/>
              <w:ind w:left="360"/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Default="00CE5CD0" w:rsidP="00343626">
            <w:pPr>
              <w:pStyle w:val="ListParagraph"/>
              <w:ind w:left="360"/>
            </w:pPr>
          </w:p>
        </w:tc>
      </w:tr>
      <w:tr w:rsidR="00CE5CD0" w:rsidTr="009274B4">
        <w:tc>
          <w:tcPr>
            <w:tcW w:w="468" w:type="dxa"/>
            <w:vMerge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  <w:szCs w:val="24"/>
              </w:rPr>
              <w:t xml:space="preserve">Teachers provide students high quality feedback which emphasizes effort and progress towards a clearly articulated learning goal. 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7862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7862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7862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7862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7862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7862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9274B4"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6642DA" w:rsidRDefault="00CE5CD0" w:rsidP="006642DA">
            <w:pPr>
              <w:rPr>
                <w:rFonts w:ascii="Arial Narrow" w:hAnsi="Arial Narrow"/>
              </w:rPr>
            </w:pPr>
            <w:r w:rsidRPr="006642DA">
              <w:rPr>
                <w:rFonts w:ascii="Arial Narrow" w:hAnsi="Arial Narrow"/>
                <w:szCs w:val="24"/>
              </w:rPr>
              <w:t>Teachers use academic games, inconsequential competition, physical movement, and/or friendly controversy to maintain student engagement.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5423A9" w:rsidRDefault="00CE5CD0" w:rsidP="002A36F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5423A9" w:rsidRDefault="00CE5CD0" w:rsidP="002A36F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5423A9" w:rsidRDefault="00CE5CD0" w:rsidP="002A36F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5423A9" w:rsidRDefault="00CE5CD0" w:rsidP="002A36F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5423A9" w:rsidRDefault="00CE5CD0" w:rsidP="002A36F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E5CD0" w:rsidRPr="005423A9" w:rsidRDefault="00CE5CD0" w:rsidP="002A36F7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214816">
        <w:trPr>
          <w:trHeight w:val="260"/>
        </w:trPr>
        <w:tc>
          <w:tcPr>
            <w:tcW w:w="468" w:type="dxa"/>
            <w:vMerge w:val="restart"/>
            <w:shd w:val="clear" w:color="auto" w:fill="EEECE1" w:themeFill="background2"/>
            <w:textDirection w:val="btLr"/>
            <w:vAlign w:val="center"/>
          </w:tcPr>
          <w:p w:rsidR="00CE5CD0" w:rsidRPr="008E747B" w:rsidRDefault="00214816" w:rsidP="00214816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Curriculum </w:t>
            </w: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  <w:r w:rsidRPr="008E747B">
              <w:rPr>
                <w:rFonts w:ascii="Arial Narrow" w:hAnsi="Arial Narrow"/>
              </w:rPr>
              <w:t>Students are provided with relevant, real-world learning activities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Default="00CE5CD0" w:rsidP="002E3BF0">
            <w:pPr>
              <w:pStyle w:val="ListParagraph"/>
              <w:ind w:left="360"/>
            </w:pPr>
          </w:p>
        </w:tc>
      </w:tr>
      <w:tr w:rsidR="00CE5CD0" w:rsidTr="00DD3F1C">
        <w:tc>
          <w:tcPr>
            <w:tcW w:w="468" w:type="dxa"/>
            <w:vMerge/>
          </w:tcPr>
          <w:p w:rsidR="00CE5CD0" w:rsidRPr="008E747B" w:rsidRDefault="00CE5CD0" w:rsidP="008E747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CE5CD0" w:rsidRPr="008E747B" w:rsidRDefault="00CE5CD0" w:rsidP="008E747B">
            <w:pPr>
              <w:rPr>
                <w:rFonts w:ascii="Arial Narrow" w:hAnsi="Arial Narrow"/>
                <w:szCs w:val="24"/>
              </w:rPr>
            </w:pPr>
            <w:r w:rsidRPr="008E747B">
              <w:rPr>
                <w:rFonts w:ascii="Arial Narrow" w:hAnsi="Arial Narrow"/>
                <w:szCs w:val="24"/>
              </w:rPr>
              <w:t>Options for accessing and interacting with content (e.g., tools, texts, activities) are provided for students’ choosing within the learning environment.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933A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933A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933A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933A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CE5CD0" w:rsidRPr="005423A9" w:rsidRDefault="00CE5CD0" w:rsidP="00933A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:rsidR="00CE5CD0" w:rsidRPr="005423A9" w:rsidRDefault="00CE5CD0" w:rsidP="00933A9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9274B4">
        <w:tc>
          <w:tcPr>
            <w:tcW w:w="468" w:type="dxa"/>
            <w:vMerge/>
            <w:shd w:val="clear" w:color="auto" w:fill="EEECE1" w:themeFill="background2"/>
          </w:tcPr>
          <w:p w:rsidR="00CE5CD0" w:rsidRPr="008E747B" w:rsidRDefault="00CE5CD0" w:rsidP="008E747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8E747B" w:rsidRDefault="00CE5CD0" w:rsidP="008E747B">
            <w:pPr>
              <w:rPr>
                <w:rFonts w:ascii="Arial Narrow" w:hAnsi="Arial Narrow"/>
                <w:szCs w:val="24"/>
              </w:rPr>
            </w:pPr>
            <w:r w:rsidRPr="008E747B">
              <w:rPr>
                <w:rFonts w:ascii="Arial Narrow" w:hAnsi="Arial Narrow"/>
                <w:szCs w:val="24"/>
              </w:rPr>
              <w:t>Options for expressing learning (e.g., media, tools, scaffolds) are provided for students’ choosing within the learning environment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42095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42095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42095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42095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42095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:rsidR="00CE5CD0" w:rsidRPr="005423A9" w:rsidRDefault="00CE5CD0" w:rsidP="0042095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CE5CD0" w:rsidTr="009274B4">
        <w:tc>
          <w:tcPr>
            <w:tcW w:w="468" w:type="dxa"/>
            <w:vMerge/>
            <w:shd w:val="clear" w:color="auto" w:fill="EEECE1" w:themeFill="background2"/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shd w:val="clear" w:color="auto" w:fill="FFFFFF" w:themeFill="background1"/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  <w:r w:rsidRPr="008E747B">
              <w:rPr>
                <w:rFonts w:ascii="Arial Narrow" w:hAnsi="Arial Narrow"/>
              </w:rPr>
              <w:t>Students are provided with research-based instructional and curricular supports (e.g., graphic and advanced organizers, summarization techniques, note taking strategies)</w:t>
            </w:r>
          </w:p>
        </w:tc>
        <w:tc>
          <w:tcPr>
            <w:tcW w:w="990" w:type="dxa"/>
            <w:shd w:val="clear" w:color="auto" w:fill="FFFFFF" w:themeFill="background1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FFFFFF" w:themeFill="background1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FFFFFF" w:themeFill="background1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FFFFFF" w:themeFill="background1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956" w:type="dxa"/>
            <w:shd w:val="clear" w:color="auto" w:fill="FFFFFF" w:themeFill="background1"/>
          </w:tcPr>
          <w:p w:rsidR="00CE5CD0" w:rsidRDefault="00CE5CD0" w:rsidP="002E3BF0">
            <w:pPr>
              <w:pStyle w:val="ListParagraph"/>
              <w:ind w:left="360"/>
            </w:pPr>
          </w:p>
        </w:tc>
        <w:tc>
          <w:tcPr>
            <w:tcW w:w="1024" w:type="dxa"/>
            <w:gridSpan w:val="2"/>
            <w:shd w:val="clear" w:color="auto" w:fill="FFFFFF" w:themeFill="background1"/>
          </w:tcPr>
          <w:p w:rsidR="00CE5CD0" w:rsidRDefault="00CE5CD0" w:rsidP="002E3BF0">
            <w:pPr>
              <w:pStyle w:val="ListParagraph"/>
              <w:ind w:left="360"/>
            </w:pPr>
          </w:p>
        </w:tc>
      </w:tr>
      <w:tr w:rsidR="00CE5CD0" w:rsidTr="008E747B">
        <w:tc>
          <w:tcPr>
            <w:tcW w:w="468" w:type="dxa"/>
            <w:vMerge/>
            <w:shd w:val="clear" w:color="auto" w:fill="EEECE1" w:themeFill="background2"/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shd w:val="clear" w:color="auto" w:fill="EEECE1" w:themeFill="background2"/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  <w:r w:rsidRPr="008E747B">
              <w:rPr>
                <w:rFonts w:ascii="Arial Narrow" w:hAnsi="Arial Narrow"/>
              </w:rPr>
              <w:t>Learning activities (e.g., discussions and assignments) encourage students to reference and communicate their own perspectives, values, perceptions, and feelings.</w:t>
            </w:r>
          </w:p>
        </w:tc>
        <w:tc>
          <w:tcPr>
            <w:tcW w:w="990" w:type="dxa"/>
            <w:shd w:val="clear" w:color="auto" w:fill="EEECE1" w:themeFill="background2"/>
          </w:tcPr>
          <w:p w:rsidR="00CE5CD0" w:rsidRPr="000766A5" w:rsidRDefault="00CE5CD0" w:rsidP="00550EC4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EEECE1" w:themeFill="background2"/>
          </w:tcPr>
          <w:p w:rsidR="00CE5CD0" w:rsidRPr="000766A5" w:rsidRDefault="00CE5CD0" w:rsidP="00550EC4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EEECE1" w:themeFill="background2"/>
          </w:tcPr>
          <w:p w:rsidR="00CE5CD0" w:rsidRPr="000766A5" w:rsidRDefault="00CE5CD0" w:rsidP="00550EC4">
            <w:pPr>
              <w:pStyle w:val="ListParagraph"/>
              <w:ind w:left="360"/>
            </w:pPr>
          </w:p>
        </w:tc>
        <w:tc>
          <w:tcPr>
            <w:tcW w:w="990" w:type="dxa"/>
            <w:shd w:val="clear" w:color="auto" w:fill="EEECE1" w:themeFill="background2"/>
          </w:tcPr>
          <w:p w:rsidR="00CE5CD0" w:rsidRPr="000766A5" w:rsidRDefault="00CE5CD0" w:rsidP="00550EC4">
            <w:pPr>
              <w:pStyle w:val="ListParagraph"/>
              <w:ind w:left="360"/>
            </w:pPr>
          </w:p>
        </w:tc>
        <w:tc>
          <w:tcPr>
            <w:tcW w:w="956" w:type="dxa"/>
            <w:shd w:val="clear" w:color="auto" w:fill="EEECE1" w:themeFill="background2"/>
          </w:tcPr>
          <w:p w:rsidR="00CE5CD0" w:rsidRPr="000766A5" w:rsidRDefault="00CE5CD0" w:rsidP="00550EC4">
            <w:pPr>
              <w:pStyle w:val="ListParagraph"/>
              <w:ind w:left="360"/>
            </w:pPr>
          </w:p>
        </w:tc>
        <w:tc>
          <w:tcPr>
            <w:tcW w:w="1024" w:type="dxa"/>
            <w:gridSpan w:val="2"/>
            <w:shd w:val="clear" w:color="auto" w:fill="EEECE1" w:themeFill="background2"/>
          </w:tcPr>
          <w:p w:rsidR="00CE5CD0" w:rsidRPr="000766A5" w:rsidRDefault="00CE5CD0" w:rsidP="00550EC4">
            <w:pPr>
              <w:pStyle w:val="ListParagraph"/>
              <w:ind w:left="360"/>
            </w:pPr>
          </w:p>
        </w:tc>
      </w:tr>
      <w:tr w:rsidR="00CE5CD0" w:rsidTr="009274B4">
        <w:tc>
          <w:tcPr>
            <w:tcW w:w="468" w:type="dxa"/>
            <w:vMerge/>
            <w:tcBorders>
              <w:bottom w:val="single" w:sz="4" w:space="0" w:color="auto"/>
            </w:tcBorders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CE5CD0" w:rsidRPr="008E747B" w:rsidRDefault="00CE5CD0" w:rsidP="008E747B">
            <w:pPr>
              <w:rPr>
                <w:rFonts w:ascii="Arial Narrow" w:hAnsi="Arial Narrow"/>
              </w:rPr>
            </w:pPr>
            <w:r w:rsidRPr="008E747B">
              <w:rPr>
                <w:rFonts w:ascii="Arial Narrow" w:hAnsi="Arial Narrow"/>
                <w:szCs w:val="24"/>
              </w:rPr>
              <w:t>Teachers provide students with opportunities to pose questions, reflect on experiences and offer feedback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3243A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3243A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3243A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E5CD0" w:rsidRPr="005423A9" w:rsidRDefault="00CE5CD0" w:rsidP="003243A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CE5CD0" w:rsidRPr="005423A9" w:rsidRDefault="00CE5CD0" w:rsidP="003243A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:rsidR="00CE5CD0" w:rsidRPr="005423A9" w:rsidRDefault="00CE5CD0" w:rsidP="003243A3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214816" w:rsidTr="009274B4">
        <w:tc>
          <w:tcPr>
            <w:tcW w:w="468" w:type="dxa"/>
            <w:vMerge w:val="restart"/>
            <w:textDirection w:val="btLr"/>
            <w:vAlign w:val="center"/>
          </w:tcPr>
          <w:p w:rsidR="00214816" w:rsidRPr="006642DA" w:rsidRDefault="00214816" w:rsidP="00214816">
            <w:pPr>
              <w:ind w:left="113" w:right="113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Environment</w:t>
            </w:r>
          </w:p>
        </w:tc>
        <w:tc>
          <w:tcPr>
            <w:tcW w:w="8100" w:type="dxa"/>
            <w:shd w:val="clear" w:color="auto" w:fill="EEECE1" w:themeFill="background2"/>
          </w:tcPr>
          <w:p w:rsidR="00214816" w:rsidRPr="006642DA" w:rsidRDefault="00214816" w:rsidP="00E35B2E">
            <w:pPr>
              <w:rPr>
                <w:rFonts w:ascii="Arial Narrow" w:hAnsi="Arial Narrow"/>
                <w:szCs w:val="24"/>
              </w:rPr>
            </w:pPr>
            <w:r w:rsidRPr="006642DA">
              <w:rPr>
                <w:rFonts w:ascii="Arial Narrow" w:hAnsi="Arial Narrow"/>
                <w:szCs w:val="24"/>
              </w:rPr>
              <w:t>Classrooms are safe, respectful and inclusive of all students</w:t>
            </w:r>
          </w:p>
        </w:tc>
        <w:tc>
          <w:tcPr>
            <w:tcW w:w="990" w:type="dxa"/>
            <w:shd w:val="clear" w:color="auto" w:fill="EEECE1" w:themeFill="background2"/>
          </w:tcPr>
          <w:p w:rsidR="00214816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EEECE1" w:themeFill="background2"/>
          </w:tcPr>
          <w:p w:rsidR="00214816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shd w:val="clear" w:color="auto" w:fill="EEECE1" w:themeFill="background2"/>
          </w:tcPr>
          <w:p w:rsidR="00214816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214816" w:rsidTr="009274B4">
        <w:trPr>
          <w:trHeight w:val="548"/>
        </w:trPr>
        <w:tc>
          <w:tcPr>
            <w:tcW w:w="468" w:type="dxa"/>
            <w:vMerge/>
          </w:tcPr>
          <w:p w:rsidR="00214816" w:rsidRPr="006642DA" w:rsidRDefault="00214816" w:rsidP="00E35B2E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214816" w:rsidRPr="006642DA" w:rsidRDefault="00214816" w:rsidP="00E35B2E">
            <w:pPr>
              <w:rPr>
                <w:rFonts w:ascii="Arial Narrow" w:hAnsi="Arial Narrow"/>
                <w:szCs w:val="24"/>
              </w:rPr>
            </w:pPr>
            <w:r w:rsidRPr="006642DA">
              <w:rPr>
                <w:rFonts w:ascii="Arial Narrow" w:hAnsi="Arial Narrow"/>
                <w:szCs w:val="24"/>
              </w:rPr>
              <w:t>Positively-stated rules and expectations are posted, followed by students, and taught and reinforced (</w:t>
            </w:r>
            <w:r w:rsidR="008A4323">
              <w:rPr>
                <w:rFonts w:ascii="Arial Narrow" w:hAnsi="Arial Narrow"/>
                <w:szCs w:val="24"/>
              </w:rPr>
              <w:t xml:space="preserve">when </w:t>
            </w:r>
            <w:r w:rsidRPr="006642DA">
              <w:rPr>
                <w:rFonts w:ascii="Arial Narrow" w:hAnsi="Arial Narrow"/>
                <w:szCs w:val="24"/>
              </w:rPr>
              <w:t>needed)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214816" w:rsidTr="009274B4">
        <w:trPr>
          <w:trHeight w:val="503"/>
        </w:trPr>
        <w:tc>
          <w:tcPr>
            <w:tcW w:w="468" w:type="dxa"/>
            <w:vMerge/>
          </w:tcPr>
          <w:p w:rsidR="00214816" w:rsidRPr="008E747B" w:rsidRDefault="00214816" w:rsidP="00E35B2E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8100" w:type="dxa"/>
            <w:shd w:val="clear" w:color="auto" w:fill="EEECE1" w:themeFill="background2"/>
          </w:tcPr>
          <w:p w:rsidR="00214816" w:rsidRPr="008E747B" w:rsidRDefault="00214816" w:rsidP="00E35B2E">
            <w:pPr>
              <w:rPr>
                <w:rFonts w:ascii="Arial Narrow" w:hAnsi="Arial Narrow"/>
                <w:szCs w:val="24"/>
              </w:rPr>
            </w:pPr>
            <w:r w:rsidRPr="008E747B">
              <w:rPr>
                <w:rFonts w:ascii="Arial Narrow" w:hAnsi="Arial Narrow"/>
                <w:szCs w:val="24"/>
              </w:rPr>
              <w:t xml:space="preserve">Routines for managing classroom communication, activities, transitions, materials and disruptions are followed by teachers and students  and taught and reinforced </w:t>
            </w:r>
            <w:r w:rsidR="008A4323">
              <w:rPr>
                <w:rFonts w:ascii="Arial Narrow" w:hAnsi="Arial Narrow"/>
                <w:szCs w:val="24"/>
              </w:rPr>
              <w:t>(when</w:t>
            </w:r>
            <w:r w:rsidRPr="008E747B">
              <w:rPr>
                <w:rFonts w:ascii="Arial Narrow" w:hAnsi="Arial Narrow"/>
                <w:szCs w:val="24"/>
              </w:rPr>
              <w:t xml:space="preserve"> needed)</w:t>
            </w: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214816" w:rsidTr="009274B4">
        <w:tc>
          <w:tcPr>
            <w:tcW w:w="468" w:type="dxa"/>
            <w:vMerge/>
          </w:tcPr>
          <w:p w:rsidR="00214816" w:rsidRPr="008E747B" w:rsidRDefault="00214816" w:rsidP="00E35B2E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tcBorders>
              <w:bottom w:val="single" w:sz="4" w:space="0" w:color="auto"/>
            </w:tcBorders>
          </w:tcPr>
          <w:p w:rsidR="00214816" w:rsidRPr="008E747B" w:rsidRDefault="00214816" w:rsidP="00E35B2E">
            <w:pPr>
              <w:rPr>
                <w:rFonts w:ascii="Arial Narrow" w:hAnsi="Arial Narrow"/>
              </w:rPr>
            </w:pPr>
            <w:r w:rsidRPr="008E747B">
              <w:rPr>
                <w:rFonts w:ascii="Arial Narrow" w:hAnsi="Arial Narrow"/>
                <w:szCs w:val="24"/>
              </w:rPr>
              <w:t>Teacher-student relationships appear mutually respectful and productive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  <w:tr w:rsidR="00214816" w:rsidTr="009274B4">
        <w:tc>
          <w:tcPr>
            <w:tcW w:w="468" w:type="dxa"/>
            <w:vMerge/>
          </w:tcPr>
          <w:p w:rsidR="00214816" w:rsidRPr="008E747B" w:rsidRDefault="00214816" w:rsidP="00E35B2E">
            <w:pPr>
              <w:rPr>
                <w:rFonts w:ascii="Arial Narrow" w:hAnsi="Arial Narrow"/>
              </w:rPr>
            </w:pPr>
          </w:p>
        </w:tc>
        <w:tc>
          <w:tcPr>
            <w:tcW w:w="8100" w:type="dxa"/>
            <w:shd w:val="clear" w:color="auto" w:fill="EEECE1" w:themeFill="background2"/>
          </w:tcPr>
          <w:p w:rsidR="00214816" w:rsidRPr="008E747B" w:rsidRDefault="00214816" w:rsidP="00E35B2E">
            <w:pPr>
              <w:rPr>
                <w:rFonts w:ascii="Arial Narrow" w:hAnsi="Arial Narrow"/>
              </w:rPr>
            </w:pPr>
            <w:r w:rsidRPr="008E747B">
              <w:rPr>
                <w:rFonts w:ascii="Arial Narrow" w:hAnsi="Arial Narrow"/>
                <w:szCs w:val="24"/>
              </w:rPr>
              <w:t>Peer relationships appear respectful and productive</w:t>
            </w: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2"/>
            <w:shd w:val="clear" w:color="auto" w:fill="EEECE1" w:themeFill="background2"/>
          </w:tcPr>
          <w:p w:rsidR="00214816" w:rsidRPr="005423A9" w:rsidRDefault="00214816" w:rsidP="00E35B2E">
            <w:pPr>
              <w:pStyle w:val="ListParagraph"/>
              <w:ind w:left="360"/>
              <w:rPr>
                <w:sz w:val="24"/>
                <w:szCs w:val="24"/>
              </w:rPr>
            </w:pPr>
          </w:p>
        </w:tc>
      </w:tr>
    </w:tbl>
    <w:p w:rsidR="007F053A" w:rsidRDefault="007F053A" w:rsidP="006D7121"/>
    <w:sectPr w:rsidR="007F053A" w:rsidSect="006E2DC4">
      <w:pgSz w:w="15840" w:h="12240" w:orient="landscape"/>
      <w:pgMar w:top="288" w:right="821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1B3E"/>
    <w:multiLevelType w:val="hybridMultilevel"/>
    <w:tmpl w:val="064A7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09553D"/>
    <w:multiLevelType w:val="hybridMultilevel"/>
    <w:tmpl w:val="9DC057E4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12876"/>
    <w:multiLevelType w:val="hybridMultilevel"/>
    <w:tmpl w:val="98EC3936"/>
    <w:lvl w:ilvl="0" w:tplc="B558631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20E89"/>
    <w:multiLevelType w:val="hybridMultilevel"/>
    <w:tmpl w:val="8878EB42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B7F78"/>
    <w:multiLevelType w:val="hybridMultilevel"/>
    <w:tmpl w:val="B8FAD910"/>
    <w:lvl w:ilvl="0" w:tplc="6C7A16A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284AB7"/>
    <w:multiLevelType w:val="hybridMultilevel"/>
    <w:tmpl w:val="B8FAD910"/>
    <w:lvl w:ilvl="0" w:tplc="6C7A16A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5A0586"/>
    <w:multiLevelType w:val="hybridMultilevel"/>
    <w:tmpl w:val="3B4678A6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B228C"/>
    <w:multiLevelType w:val="hybridMultilevel"/>
    <w:tmpl w:val="00FAE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676FC7"/>
    <w:multiLevelType w:val="hybridMultilevel"/>
    <w:tmpl w:val="F140C7C6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87584"/>
    <w:multiLevelType w:val="hybridMultilevel"/>
    <w:tmpl w:val="AE5A61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AF672D"/>
    <w:multiLevelType w:val="multilevel"/>
    <w:tmpl w:val="1EFA9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8C55ECD"/>
    <w:multiLevelType w:val="hybridMultilevel"/>
    <w:tmpl w:val="58F42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6268D5"/>
    <w:multiLevelType w:val="hybridMultilevel"/>
    <w:tmpl w:val="4F70EC40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F4629"/>
    <w:multiLevelType w:val="hybridMultilevel"/>
    <w:tmpl w:val="B9EE78FA"/>
    <w:lvl w:ilvl="0" w:tplc="6C7A16A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A0015F"/>
    <w:multiLevelType w:val="hybridMultilevel"/>
    <w:tmpl w:val="B1F242A8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16F65"/>
    <w:multiLevelType w:val="hybridMultilevel"/>
    <w:tmpl w:val="8D2A164C"/>
    <w:lvl w:ilvl="0" w:tplc="6C7A1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37466"/>
    <w:multiLevelType w:val="hybridMultilevel"/>
    <w:tmpl w:val="B8FAD910"/>
    <w:lvl w:ilvl="0" w:tplc="6C7A16A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9C57EE5"/>
    <w:multiLevelType w:val="hybridMultilevel"/>
    <w:tmpl w:val="D74408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E243BC2"/>
    <w:multiLevelType w:val="hybridMultilevel"/>
    <w:tmpl w:val="715C44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C6657B"/>
    <w:multiLevelType w:val="hybridMultilevel"/>
    <w:tmpl w:val="EF423D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6F016C2"/>
    <w:multiLevelType w:val="hybridMultilevel"/>
    <w:tmpl w:val="1EFA9F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1"/>
  </w:num>
  <w:num w:numId="3">
    <w:abstractNumId w:val="20"/>
  </w:num>
  <w:num w:numId="4">
    <w:abstractNumId w:val="0"/>
  </w:num>
  <w:num w:numId="5">
    <w:abstractNumId w:val="7"/>
  </w:num>
  <w:num w:numId="6">
    <w:abstractNumId w:val="17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12"/>
  </w:num>
  <w:num w:numId="12">
    <w:abstractNumId w:val="3"/>
  </w:num>
  <w:num w:numId="13">
    <w:abstractNumId w:val="8"/>
  </w:num>
  <w:num w:numId="14">
    <w:abstractNumId w:val="14"/>
  </w:num>
  <w:num w:numId="15">
    <w:abstractNumId w:val="5"/>
  </w:num>
  <w:num w:numId="16">
    <w:abstractNumId w:val="1"/>
  </w:num>
  <w:num w:numId="17">
    <w:abstractNumId w:val="15"/>
  </w:num>
  <w:num w:numId="18">
    <w:abstractNumId w:val="16"/>
  </w:num>
  <w:num w:numId="19">
    <w:abstractNumId w:val="4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6F"/>
    <w:rsid w:val="00007FE6"/>
    <w:rsid w:val="000423EE"/>
    <w:rsid w:val="000660DB"/>
    <w:rsid w:val="000766A5"/>
    <w:rsid w:val="0009785C"/>
    <w:rsid w:val="000D4544"/>
    <w:rsid w:val="000D5F5E"/>
    <w:rsid w:val="000E29D1"/>
    <w:rsid w:val="000E78C7"/>
    <w:rsid w:val="001058B9"/>
    <w:rsid w:val="00106007"/>
    <w:rsid w:val="001352A0"/>
    <w:rsid w:val="001A22B5"/>
    <w:rsid w:val="001A504D"/>
    <w:rsid w:val="001B0D93"/>
    <w:rsid w:val="001D6049"/>
    <w:rsid w:val="001E3593"/>
    <w:rsid w:val="001E4002"/>
    <w:rsid w:val="001E7C5D"/>
    <w:rsid w:val="0020434F"/>
    <w:rsid w:val="00214816"/>
    <w:rsid w:val="002436CE"/>
    <w:rsid w:val="002474AE"/>
    <w:rsid w:val="00260756"/>
    <w:rsid w:val="00290A81"/>
    <w:rsid w:val="002B580E"/>
    <w:rsid w:val="002B7855"/>
    <w:rsid w:val="002D05E2"/>
    <w:rsid w:val="002E3BF0"/>
    <w:rsid w:val="002E428B"/>
    <w:rsid w:val="00315FE7"/>
    <w:rsid w:val="0033769E"/>
    <w:rsid w:val="00351E69"/>
    <w:rsid w:val="003527F0"/>
    <w:rsid w:val="003A0777"/>
    <w:rsid w:val="003D50F0"/>
    <w:rsid w:val="003E4DBD"/>
    <w:rsid w:val="0042380E"/>
    <w:rsid w:val="00445E39"/>
    <w:rsid w:val="004578CF"/>
    <w:rsid w:val="00484846"/>
    <w:rsid w:val="00492262"/>
    <w:rsid w:val="0049257F"/>
    <w:rsid w:val="004A4484"/>
    <w:rsid w:val="004B194A"/>
    <w:rsid w:val="0050390F"/>
    <w:rsid w:val="00504442"/>
    <w:rsid w:val="00510C03"/>
    <w:rsid w:val="00512CE0"/>
    <w:rsid w:val="00540FBD"/>
    <w:rsid w:val="005423A9"/>
    <w:rsid w:val="00563F1A"/>
    <w:rsid w:val="00586C04"/>
    <w:rsid w:val="005953ED"/>
    <w:rsid w:val="005A5897"/>
    <w:rsid w:val="005B6672"/>
    <w:rsid w:val="005C0E0B"/>
    <w:rsid w:val="00605B42"/>
    <w:rsid w:val="00607749"/>
    <w:rsid w:val="0060783B"/>
    <w:rsid w:val="006118E0"/>
    <w:rsid w:val="0061598F"/>
    <w:rsid w:val="00637E8D"/>
    <w:rsid w:val="0064678B"/>
    <w:rsid w:val="00652C9E"/>
    <w:rsid w:val="00653F77"/>
    <w:rsid w:val="006542AA"/>
    <w:rsid w:val="006642DA"/>
    <w:rsid w:val="00671C1B"/>
    <w:rsid w:val="006750AD"/>
    <w:rsid w:val="00676D2C"/>
    <w:rsid w:val="00680472"/>
    <w:rsid w:val="00695B2B"/>
    <w:rsid w:val="006C092D"/>
    <w:rsid w:val="006C3AAD"/>
    <w:rsid w:val="006D7121"/>
    <w:rsid w:val="006E0FDD"/>
    <w:rsid w:val="006E2DC4"/>
    <w:rsid w:val="006E6628"/>
    <w:rsid w:val="00700C7C"/>
    <w:rsid w:val="00701CC3"/>
    <w:rsid w:val="00704783"/>
    <w:rsid w:val="00711EAF"/>
    <w:rsid w:val="00736CBA"/>
    <w:rsid w:val="007520C0"/>
    <w:rsid w:val="00753528"/>
    <w:rsid w:val="007561D0"/>
    <w:rsid w:val="00756D0A"/>
    <w:rsid w:val="00757D3C"/>
    <w:rsid w:val="007627E9"/>
    <w:rsid w:val="00771169"/>
    <w:rsid w:val="0077200C"/>
    <w:rsid w:val="0077688B"/>
    <w:rsid w:val="007E37D0"/>
    <w:rsid w:val="007E53E3"/>
    <w:rsid w:val="007F053A"/>
    <w:rsid w:val="007F757A"/>
    <w:rsid w:val="007F78D6"/>
    <w:rsid w:val="0080193E"/>
    <w:rsid w:val="00827BA0"/>
    <w:rsid w:val="00872725"/>
    <w:rsid w:val="00874D2A"/>
    <w:rsid w:val="00881458"/>
    <w:rsid w:val="0088511E"/>
    <w:rsid w:val="0088721A"/>
    <w:rsid w:val="008A4323"/>
    <w:rsid w:val="008E0E07"/>
    <w:rsid w:val="008E3D24"/>
    <w:rsid w:val="008E5840"/>
    <w:rsid w:val="008E747B"/>
    <w:rsid w:val="00921BD8"/>
    <w:rsid w:val="009274B4"/>
    <w:rsid w:val="00931149"/>
    <w:rsid w:val="00932E45"/>
    <w:rsid w:val="00934DC8"/>
    <w:rsid w:val="009409D6"/>
    <w:rsid w:val="00941F65"/>
    <w:rsid w:val="0095412D"/>
    <w:rsid w:val="00955F06"/>
    <w:rsid w:val="009862E1"/>
    <w:rsid w:val="009A60B1"/>
    <w:rsid w:val="009B65C9"/>
    <w:rsid w:val="009D2FFB"/>
    <w:rsid w:val="009F3200"/>
    <w:rsid w:val="00A0163E"/>
    <w:rsid w:val="00A166CC"/>
    <w:rsid w:val="00A42E3A"/>
    <w:rsid w:val="00A54ABC"/>
    <w:rsid w:val="00A73ED4"/>
    <w:rsid w:val="00AA038C"/>
    <w:rsid w:val="00AA0F67"/>
    <w:rsid w:val="00AA2125"/>
    <w:rsid w:val="00AA6191"/>
    <w:rsid w:val="00AE3880"/>
    <w:rsid w:val="00B25E29"/>
    <w:rsid w:val="00B450B0"/>
    <w:rsid w:val="00B52606"/>
    <w:rsid w:val="00B5295F"/>
    <w:rsid w:val="00B66535"/>
    <w:rsid w:val="00B9065F"/>
    <w:rsid w:val="00BA3F94"/>
    <w:rsid w:val="00BB5338"/>
    <w:rsid w:val="00BE2DB6"/>
    <w:rsid w:val="00BF1A51"/>
    <w:rsid w:val="00C00336"/>
    <w:rsid w:val="00C012DB"/>
    <w:rsid w:val="00C1662F"/>
    <w:rsid w:val="00C2009B"/>
    <w:rsid w:val="00C4646F"/>
    <w:rsid w:val="00C55837"/>
    <w:rsid w:val="00C65069"/>
    <w:rsid w:val="00C67293"/>
    <w:rsid w:val="00CB67DF"/>
    <w:rsid w:val="00CC45E0"/>
    <w:rsid w:val="00CC4682"/>
    <w:rsid w:val="00CE5057"/>
    <w:rsid w:val="00CE5CD0"/>
    <w:rsid w:val="00D00998"/>
    <w:rsid w:val="00D06B02"/>
    <w:rsid w:val="00D12478"/>
    <w:rsid w:val="00D35BF4"/>
    <w:rsid w:val="00D43FEF"/>
    <w:rsid w:val="00D7057C"/>
    <w:rsid w:val="00D81DBA"/>
    <w:rsid w:val="00D8302F"/>
    <w:rsid w:val="00D86356"/>
    <w:rsid w:val="00D86474"/>
    <w:rsid w:val="00DC2950"/>
    <w:rsid w:val="00DC72B1"/>
    <w:rsid w:val="00DE2D43"/>
    <w:rsid w:val="00DE5F26"/>
    <w:rsid w:val="00DF7FA5"/>
    <w:rsid w:val="00E02653"/>
    <w:rsid w:val="00E21FB1"/>
    <w:rsid w:val="00E569A6"/>
    <w:rsid w:val="00E57766"/>
    <w:rsid w:val="00E63E98"/>
    <w:rsid w:val="00E64EC8"/>
    <w:rsid w:val="00E92562"/>
    <w:rsid w:val="00EA0698"/>
    <w:rsid w:val="00EA2C5C"/>
    <w:rsid w:val="00EB2CE5"/>
    <w:rsid w:val="00ED0791"/>
    <w:rsid w:val="00EE7365"/>
    <w:rsid w:val="00EF04D3"/>
    <w:rsid w:val="00EF07B7"/>
    <w:rsid w:val="00F32519"/>
    <w:rsid w:val="00F45069"/>
    <w:rsid w:val="00F75EAE"/>
    <w:rsid w:val="00F8754D"/>
    <w:rsid w:val="00F87C80"/>
    <w:rsid w:val="00F91097"/>
    <w:rsid w:val="00FA1467"/>
    <w:rsid w:val="00FB7F7F"/>
    <w:rsid w:val="00FC4B28"/>
    <w:rsid w:val="00FD1739"/>
    <w:rsid w:val="00FE63D3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4646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6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5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4646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6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8CC37-154E-4711-A40A-6B133E96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Sarlo, Rebecca</dc:creator>
  <cp:lastModifiedBy>Sarlo, Rebecca</cp:lastModifiedBy>
  <cp:revision>11</cp:revision>
  <dcterms:created xsi:type="dcterms:W3CDTF">2013-05-06T12:28:00Z</dcterms:created>
  <dcterms:modified xsi:type="dcterms:W3CDTF">2013-05-10T17:27:00Z</dcterms:modified>
</cp:coreProperties>
</file>